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6AF6D1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765F0">
        <w:rPr>
          <w:rFonts w:ascii="Times New Roman" w:hAnsi="Times New Roman"/>
          <w:color w:val="000000" w:themeColor="text1"/>
          <w:shd w:val="clear" w:color="auto" w:fill="FFFFFF"/>
        </w:rPr>
        <w:t>FORMACJE UMUNDUROWANE I UZBROJONE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140511">
        <w:rPr>
          <w:rFonts w:ascii="Times New Roman" w:hAnsi="Times New Roman"/>
          <w:strike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bookmarkStart w:id="1" w:name="_GoBack"/>
      <w:r w:rsidR="00DA2FFB" w:rsidRPr="00140511">
        <w:rPr>
          <w:rFonts w:ascii="Times New Roman" w:hAnsi="Times New Roman"/>
        </w:rPr>
        <w:t>STUDIA NIESTACJONARNE</w:t>
      </w:r>
      <w:bookmarkEnd w:id="1"/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B407DE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CD67BC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="00CD67B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054F7C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EE1C528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325D1E4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61FAE87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2438898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65C4EFE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6FF6FA3E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02C60AD8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4FA7476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14D9802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02F1E4B" w:rsidR="00491616" w:rsidRPr="00491616" w:rsidRDefault="00CD67BC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C53C3F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F44D18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70793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91F45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140511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765F0"/>
    <w:rsid w:val="00491616"/>
    <w:rsid w:val="004C28EE"/>
    <w:rsid w:val="005161B6"/>
    <w:rsid w:val="00517E41"/>
    <w:rsid w:val="005252CF"/>
    <w:rsid w:val="005325D2"/>
    <w:rsid w:val="00570793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F5D21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D67BC"/>
    <w:rsid w:val="00CE2EA3"/>
    <w:rsid w:val="00D82682"/>
    <w:rsid w:val="00D958A7"/>
    <w:rsid w:val="00DA2FFB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2024-12-09T08:52:00Z</dcterms:created>
  <dcterms:modified xsi:type="dcterms:W3CDTF">2024-12-09T08:52:00Z</dcterms:modified>
</cp:coreProperties>
</file>